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60D" w:rsidRDefault="000C460D">
      <w:pPr>
        <w:pStyle w:val="ConsPlusTitlePage"/>
      </w:pPr>
      <w:bookmarkStart w:id="0" w:name="_GoBack"/>
      <w:bookmarkEnd w:id="0"/>
      <w:r>
        <w:t xml:space="preserve">Документ предоставлен </w:t>
      </w:r>
      <w:hyperlink r:id="rId7" w:history="1">
        <w:r>
          <w:rPr>
            <w:color w:val="0000FF"/>
          </w:rPr>
          <w:t>КонсультантПлюс</w:t>
        </w:r>
      </w:hyperlink>
      <w:r>
        <w:br/>
      </w:r>
    </w:p>
    <w:p w:rsidR="000C460D" w:rsidRDefault="000C460D">
      <w:pPr>
        <w:pStyle w:val="ConsPlusNormal"/>
        <w:jc w:val="both"/>
        <w:outlineLvl w:val="0"/>
      </w:pPr>
    </w:p>
    <w:p w:rsidR="000C460D" w:rsidRDefault="000C460D">
      <w:pPr>
        <w:pStyle w:val="ConsPlusTitle"/>
        <w:jc w:val="center"/>
        <w:outlineLvl w:val="0"/>
      </w:pPr>
      <w:r>
        <w:t>ПРАВИТЕЛЬСТВО РОССИЙСКОЙ ФЕДЕРАЦИИ</w:t>
      </w:r>
    </w:p>
    <w:p w:rsidR="000C460D" w:rsidRDefault="000C460D">
      <w:pPr>
        <w:pStyle w:val="ConsPlusTitle"/>
        <w:jc w:val="center"/>
      </w:pPr>
    </w:p>
    <w:p w:rsidR="000C460D" w:rsidRDefault="000C460D">
      <w:pPr>
        <w:pStyle w:val="ConsPlusTitle"/>
        <w:jc w:val="center"/>
      </w:pPr>
      <w:r>
        <w:t>ПОСТАНОВЛЕНИЕ</w:t>
      </w:r>
    </w:p>
    <w:p w:rsidR="000C460D" w:rsidRDefault="000C460D">
      <w:pPr>
        <w:pStyle w:val="ConsPlusTitle"/>
        <w:jc w:val="center"/>
      </w:pPr>
      <w:r>
        <w:t>от 23 декабря 2016 г. N 1452</w:t>
      </w:r>
    </w:p>
    <w:p w:rsidR="000C460D" w:rsidRDefault="000C460D">
      <w:pPr>
        <w:pStyle w:val="ConsPlusTitle"/>
        <w:jc w:val="center"/>
      </w:pPr>
    </w:p>
    <w:p w:rsidR="000C460D" w:rsidRDefault="000C460D">
      <w:pPr>
        <w:pStyle w:val="ConsPlusTitle"/>
        <w:jc w:val="center"/>
      </w:pPr>
      <w:r>
        <w:t>О МОНИТОРИНГЕ ЦЕН СТРОИТЕЛЬНЫХ РЕСУРСОВ</w:t>
      </w:r>
    </w:p>
    <w:p w:rsidR="000C460D" w:rsidRDefault="000C460D">
      <w:pPr>
        <w:pStyle w:val="ConsPlusNormal"/>
        <w:jc w:val="both"/>
      </w:pPr>
    </w:p>
    <w:p w:rsidR="000C460D" w:rsidRDefault="000C460D">
      <w:pPr>
        <w:pStyle w:val="ConsPlusNormal"/>
        <w:ind w:firstLine="540"/>
        <w:jc w:val="both"/>
      </w:pPr>
      <w:r>
        <w:t xml:space="preserve">В соответствии с </w:t>
      </w:r>
      <w:hyperlink r:id="rId8" w:history="1">
        <w:r>
          <w:rPr>
            <w:color w:val="0000FF"/>
          </w:rPr>
          <w:t>частью 7 статьи 8.3</w:t>
        </w:r>
      </w:hyperlink>
      <w:r>
        <w:t xml:space="preserve"> Градостроительного кодекса Российской Федерации Правительство Российской Федерации постановляет:</w:t>
      </w:r>
    </w:p>
    <w:p w:rsidR="000C460D" w:rsidRDefault="000C460D">
      <w:pPr>
        <w:pStyle w:val="ConsPlusNormal"/>
        <w:ind w:firstLine="540"/>
        <w:jc w:val="both"/>
      </w:pPr>
      <w:r>
        <w:t xml:space="preserve">1. Утвердить прилагаемые </w:t>
      </w:r>
      <w:hyperlink w:anchor="P33" w:history="1">
        <w:r>
          <w:rPr>
            <w:color w:val="0000FF"/>
          </w:rPr>
          <w:t>Правила</w:t>
        </w:r>
      </w:hyperlink>
      <w:r>
        <w:t xml:space="preserve"> мониторинга цен строительных ресурсов.</w:t>
      </w:r>
    </w:p>
    <w:p w:rsidR="000C460D" w:rsidRDefault="000C460D">
      <w:pPr>
        <w:pStyle w:val="ConsPlusNormal"/>
        <w:ind w:firstLine="540"/>
        <w:jc w:val="both"/>
      </w:pPr>
      <w:r>
        <w:t>2. Министерству строительства и жилищно-коммунального хозяйства Российской Федерации до 1 марта 2017 г.:</w:t>
      </w:r>
    </w:p>
    <w:p w:rsidR="000C460D" w:rsidRDefault="000C460D">
      <w:pPr>
        <w:pStyle w:val="ConsPlusNormal"/>
        <w:ind w:firstLine="540"/>
        <w:jc w:val="both"/>
      </w:pPr>
      <w:r>
        <w:t>а) сформировать классификатор строительных ресурсов;</w:t>
      </w:r>
    </w:p>
    <w:p w:rsidR="000C460D" w:rsidRDefault="000C460D">
      <w:pPr>
        <w:pStyle w:val="ConsPlusNormal"/>
        <w:ind w:firstLine="540"/>
        <w:jc w:val="both"/>
      </w:pPr>
      <w:r>
        <w:t>б) утвердить:</w:t>
      </w:r>
    </w:p>
    <w:p w:rsidR="000C460D" w:rsidRDefault="000C460D">
      <w:pPr>
        <w:pStyle w:val="ConsPlusNormal"/>
        <w:ind w:firstLine="540"/>
        <w:jc w:val="both"/>
      </w:pPr>
      <w:r>
        <w:t>форму классификатора строительных ресурсов и порядок его ведения, необходимые в целях осуществления мониторинга цен строительных ресурсов;</w:t>
      </w:r>
    </w:p>
    <w:p w:rsidR="000C460D" w:rsidRDefault="000C460D">
      <w:pPr>
        <w:pStyle w:val="ConsPlusNormal"/>
        <w:ind w:firstLine="540"/>
        <w:jc w:val="both"/>
      </w:pPr>
      <w:r>
        <w:t xml:space="preserve">формы предоставления информации, необходимой для формирования сметных цен строительных ресурсов, предусмотренные </w:t>
      </w:r>
      <w:hyperlink w:anchor="P33" w:history="1">
        <w:r>
          <w:rPr>
            <w:color w:val="0000FF"/>
          </w:rPr>
          <w:t>Правилами</w:t>
        </w:r>
      </w:hyperlink>
      <w:r>
        <w:t>, утвержденными настоящим постановлением.</w:t>
      </w:r>
    </w:p>
    <w:p w:rsidR="000C460D" w:rsidRDefault="000C460D">
      <w:pPr>
        <w:pStyle w:val="ConsPlusNormal"/>
        <w:ind w:firstLine="540"/>
        <w:jc w:val="both"/>
      </w:pPr>
      <w:r>
        <w:t>3. Установить, что сметные цены строительных ресурсов, определенные Министерством строительства и жилищно-коммунального хозяйства Российской Федерации по результатам мониторинга цен строительных ресурсов, подлежат размещению в федеральной государственной информационной системе ценообразования в строительстве, в том числе:</w:t>
      </w:r>
    </w:p>
    <w:p w:rsidR="000C460D" w:rsidRDefault="000C460D">
      <w:pPr>
        <w:pStyle w:val="ConsPlusNormal"/>
        <w:ind w:firstLine="540"/>
        <w:jc w:val="both"/>
      </w:pPr>
      <w:r>
        <w:t>а) сметные цены на материалы, изделия, конструкции и оборудование - 15 декабря 2017 г. (определенные по результатам мониторинга цен строительных ресурсов за III квартал 2017 г.), 25 февраля 2018 г. (определенные по результатам мониторинга цен строительных ресурсов за IV квартал 2017 г.), далее - ежеквартально, не позднее 25-го числа второго месяца квартала, следующего за отчетным;</w:t>
      </w:r>
    </w:p>
    <w:p w:rsidR="000C460D" w:rsidRDefault="000C460D">
      <w:pPr>
        <w:pStyle w:val="ConsPlusNormal"/>
        <w:ind w:firstLine="540"/>
        <w:jc w:val="both"/>
      </w:pPr>
      <w:r>
        <w:t>б) сметные цены на эксплуатацию машин и механизмов и сметные цены на затраты труда - 15 декабря 2017 г., далее с 2018 года - ежегодно, не позднее 25 марта текущего года.</w:t>
      </w:r>
    </w:p>
    <w:p w:rsidR="000C460D" w:rsidRDefault="000C460D">
      <w:pPr>
        <w:pStyle w:val="ConsPlusNormal"/>
        <w:ind w:firstLine="540"/>
        <w:jc w:val="both"/>
      </w:pPr>
      <w:r>
        <w:t>4. Реализация полномочий, предусмотренных настоящим постановлением, осуществляется соответствующими федеральными органами исполнительной власти в пределах установленной штатной численности и фонда оплаты труда работников, а также бюджетных ассигнований, предусмотренных этим федеральным органам исполнительной власти в федеральном законе о федеральном бюджете на соответствующий финансовый год и плановый период на руководство и управление в сфере установленных функций.</w:t>
      </w:r>
    </w:p>
    <w:p w:rsidR="000C460D" w:rsidRDefault="000C460D">
      <w:pPr>
        <w:pStyle w:val="ConsPlusNormal"/>
        <w:jc w:val="both"/>
      </w:pPr>
    </w:p>
    <w:p w:rsidR="000C460D" w:rsidRDefault="000C460D">
      <w:pPr>
        <w:pStyle w:val="ConsPlusNormal"/>
        <w:jc w:val="right"/>
      </w:pPr>
      <w:r>
        <w:t>Председатель Правительства</w:t>
      </w:r>
    </w:p>
    <w:p w:rsidR="000C460D" w:rsidRDefault="000C460D">
      <w:pPr>
        <w:pStyle w:val="ConsPlusNormal"/>
        <w:jc w:val="right"/>
      </w:pPr>
      <w:r>
        <w:t>Российской Федерации</w:t>
      </w:r>
    </w:p>
    <w:p w:rsidR="000C460D" w:rsidRDefault="000C460D">
      <w:pPr>
        <w:pStyle w:val="ConsPlusNormal"/>
        <w:jc w:val="right"/>
      </w:pPr>
      <w:r>
        <w:t>Д.МЕДВЕДЕВ</w:t>
      </w:r>
    </w:p>
    <w:p w:rsidR="000C460D" w:rsidRDefault="000C460D">
      <w:pPr>
        <w:pStyle w:val="ConsPlusNormal"/>
        <w:jc w:val="both"/>
      </w:pPr>
    </w:p>
    <w:p w:rsidR="000C460D" w:rsidRDefault="000C460D">
      <w:pPr>
        <w:pStyle w:val="ConsPlusNormal"/>
        <w:jc w:val="both"/>
      </w:pPr>
    </w:p>
    <w:p w:rsidR="000C460D" w:rsidRDefault="000C460D">
      <w:pPr>
        <w:pStyle w:val="ConsPlusNormal"/>
        <w:jc w:val="both"/>
      </w:pPr>
    </w:p>
    <w:p w:rsidR="000C460D" w:rsidRDefault="000C460D">
      <w:pPr>
        <w:pStyle w:val="ConsPlusNormal"/>
        <w:jc w:val="both"/>
      </w:pPr>
    </w:p>
    <w:p w:rsidR="000C460D" w:rsidRDefault="000C460D">
      <w:pPr>
        <w:pStyle w:val="ConsPlusNormal"/>
        <w:jc w:val="both"/>
      </w:pPr>
    </w:p>
    <w:p w:rsidR="000C460D" w:rsidRDefault="000C460D">
      <w:pPr>
        <w:pStyle w:val="ConsPlusNormal"/>
        <w:jc w:val="right"/>
        <w:outlineLvl w:val="0"/>
      </w:pPr>
      <w:r>
        <w:t>Утверждены</w:t>
      </w:r>
    </w:p>
    <w:p w:rsidR="000C460D" w:rsidRDefault="000C460D">
      <w:pPr>
        <w:pStyle w:val="ConsPlusNormal"/>
        <w:jc w:val="right"/>
      </w:pPr>
      <w:r>
        <w:t>постановлением Правительства</w:t>
      </w:r>
    </w:p>
    <w:p w:rsidR="000C460D" w:rsidRDefault="000C460D">
      <w:pPr>
        <w:pStyle w:val="ConsPlusNormal"/>
        <w:jc w:val="right"/>
      </w:pPr>
      <w:r>
        <w:t>Российской Федерации</w:t>
      </w:r>
    </w:p>
    <w:p w:rsidR="000C460D" w:rsidRDefault="000C460D">
      <w:pPr>
        <w:pStyle w:val="ConsPlusNormal"/>
        <w:jc w:val="right"/>
      </w:pPr>
      <w:r>
        <w:t>от 23 декабря 2016 г. N 1452</w:t>
      </w:r>
    </w:p>
    <w:p w:rsidR="000C460D" w:rsidRDefault="000C460D">
      <w:pPr>
        <w:pStyle w:val="ConsPlusNormal"/>
        <w:jc w:val="both"/>
      </w:pPr>
    </w:p>
    <w:p w:rsidR="000C460D" w:rsidRDefault="000C460D">
      <w:pPr>
        <w:pStyle w:val="ConsPlusTitle"/>
        <w:jc w:val="center"/>
      </w:pPr>
      <w:bookmarkStart w:id="1" w:name="P33"/>
      <w:bookmarkEnd w:id="1"/>
      <w:r>
        <w:t>ПРАВИЛА МОНИТОРИНГА ЦЕН СТРОИТЕЛЬНЫХ РЕСУРСОВ</w:t>
      </w:r>
    </w:p>
    <w:p w:rsidR="000C460D" w:rsidRDefault="000C460D">
      <w:pPr>
        <w:pStyle w:val="ConsPlusNormal"/>
        <w:jc w:val="both"/>
      </w:pPr>
    </w:p>
    <w:p w:rsidR="000C460D" w:rsidRDefault="000C460D">
      <w:pPr>
        <w:pStyle w:val="ConsPlusNormal"/>
        <w:ind w:firstLine="540"/>
        <w:jc w:val="both"/>
      </w:pPr>
      <w:r>
        <w:t>1. Настоящие Правила устанавливают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rsidR="000C460D" w:rsidRDefault="000C460D">
      <w:pPr>
        <w:pStyle w:val="ConsPlusNormal"/>
        <w:ind w:firstLine="540"/>
        <w:jc w:val="both"/>
      </w:pPr>
      <w:r>
        <w:t>2. Понятия, используемые в настоящих Правилах, означают следующее:</w:t>
      </w:r>
    </w:p>
    <w:p w:rsidR="000C460D" w:rsidRDefault="000C460D">
      <w:pPr>
        <w:pStyle w:val="ConsPlusNormal"/>
        <w:ind w:firstLine="540"/>
        <w:jc w:val="both"/>
      </w:pPr>
      <w:r>
        <w:t xml:space="preserve">мониторинг цен строительных ресурсов - сбор информации, необходимой для формирования сметных цен строительных ресурсов, применяемых для определения сметной стоимости строительства, реконструкции, капитального ремонта объектов капитального строительства, в случаях, предусмотренных </w:t>
      </w:r>
      <w:hyperlink r:id="rId9" w:history="1">
        <w:r>
          <w:rPr>
            <w:color w:val="0000FF"/>
          </w:rPr>
          <w:t>частью 1 статьи 8.3</w:t>
        </w:r>
      </w:hyperlink>
      <w:r>
        <w:t xml:space="preserve"> Градостроительного кодекса Российской Федерации;</w:t>
      </w:r>
    </w:p>
    <w:p w:rsidR="000C460D" w:rsidRDefault="000C460D">
      <w:pPr>
        <w:pStyle w:val="ConsPlusNormal"/>
        <w:ind w:firstLine="540"/>
        <w:jc w:val="both"/>
      </w:pPr>
      <w:r>
        <w:t xml:space="preserve">классификатор строительных ресурсов - систематизированный перечень используемых при строительстве, реконструкции и капитальном ремонте объектов капитального строительства материалов, изделий, конструкций, оборудования, машин и механизмов, каждому из которых присвоен определенный код, гармонизированный с Общероссийским </w:t>
      </w:r>
      <w:hyperlink r:id="rId10" w:history="1">
        <w:r>
          <w:rPr>
            <w:color w:val="0000FF"/>
          </w:rPr>
          <w:t>классификатором</w:t>
        </w:r>
      </w:hyperlink>
      <w:r>
        <w:t xml:space="preserve"> продукции по видам экономической деятельности, который формируется Министерством строительства и жилищно-коммунального хозяйства Российской Федерации и размещается в федеральной государственной информационной системе ценообразования в строительстве (далее - информационная система).</w:t>
      </w:r>
    </w:p>
    <w:p w:rsidR="000C460D" w:rsidRDefault="000C460D">
      <w:pPr>
        <w:pStyle w:val="ConsPlusNormal"/>
        <w:ind w:firstLine="540"/>
        <w:jc w:val="both"/>
      </w:pPr>
      <w:bookmarkStart w:id="2" w:name="P39"/>
      <w:bookmarkEnd w:id="2"/>
      <w:r>
        <w:t>3. Мониторинг цен строительных ресурсов осуществляется государственным учреждением, подведомственным Министерству строительства и жилищно-коммунального хозяйства Российской Федерации и уполномоченным на создание и эксплуатацию информационной системы (далее - государственное учреждение), и предусматривает предоставление государственному учреждению следующих видов информации, необходимых для формирования сметных цен строительных ресурсов:</w:t>
      </w:r>
    </w:p>
    <w:p w:rsidR="000C460D" w:rsidRDefault="000C460D">
      <w:pPr>
        <w:pStyle w:val="ConsPlusNormal"/>
        <w:ind w:firstLine="540"/>
        <w:jc w:val="both"/>
      </w:pPr>
      <w:bookmarkStart w:id="3" w:name="P40"/>
      <w:bookmarkEnd w:id="3"/>
      <w:r>
        <w:t>а) отпускная цена (цена реализации) строительных материалов, изделий, конструкций, оборудования, машин и механизмов, произведенных на территории Российской Федерации, предусмотренная договорами купли-продажи (поставки) таких строительных материалов, изделий, конструкций, оборудования, машин и механизмов, заключенными между покупателями и лицами, осуществившими их производство на территории Российской Федерации, средневзвешенная по объемам и цене их реализации за отчетный период;</w:t>
      </w:r>
    </w:p>
    <w:p w:rsidR="000C460D" w:rsidRDefault="000C460D">
      <w:pPr>
        <w:pStyle w:val="ConsPlusNormal"/>
        <w:ind w:firstLine="540"/>
        <w:jc w:val="both"/>
      </w:pPr>
      <w:r>
        <w:t>б) отпускная цена (цена реализации) строительных материалов, изделий, конструкций, оборудования, машин и механизмов, ввезенных в Российскую Федерацию, предусмотренная договорами купли-продажи (поставки) таких строительных материалов, изделий, конструкций, оборудования, машин и механизмов, заключенными между покупателями и лицами, осуществившими ввоз в Российскую Федерацию таких строительных материалов, изделий, конструкций, оборудования, машин и механизмов в соответствии с таможенной процедурой выпуска для внутреннего потребления, средневзвешенная по объемам и цене их реализации за отчетный период;</w:t>
      </w:r>
    </w:p>
    <w:p w:rsidR="000C460D" w:rsidRDefault="000C460D">
      <w:pPr>
        <w:pStyle w:val="ConsPlusNormal"/>
        <w:ind w:firstLine="540"/>
        <w:jc w:val="both"/>
      </w:pPr>
      <w:r>
        <w:t>в) цена услуг по перевозке строительных материалов, изделий, конструкций, оборудования, машин и механизмов судами морского (внутреннего водного) и воздушного транспорта на территории Российской Федерации, предусмотренная договорами перевозки, заключенными между перевозчиками и отправителями таких строительных материалов, изделий, конструкций, оборудования, машин и механизмов, за отчетный период с распределением по видам перевозок, средневзвешенная по объемам и цене предоставления услуг за отчетный период;</w:t>
      </w:r>
    </w:p>
    <w:p w:rsidR="000C460D" w:rsidRDefault="000C460D">
      <w:pPr>
        <w:pStyle w:val="ConsPlusNormal"/>
        <w:ind w:firstLine="540"/>
        <w:jc w:val="both"/>
      </w:pPr>
      <w:bookmarkStart w:id="4" w:name="P43"/>
      <w:bookmarkEnd w:id="4"/>
      <w:r>
        <w:t>г) размер платы за временное владение и пользование железнодорожными грузовыми вагонами, предусмотренный договорами аренды, заключенными между собственниками и арендаторами грузовых вагонов, средневзвешенный по объемам и размеру платы за отчетный период;</w:t>
      </w:r>
    </w:p>
    <w:p w:rsidR="000C460D" w:rsidRDefault="000C460D">
      <w:pPr>
        <w:pStyle w:val="ConsPlusNormal"/>
        <w:ind w:firstLine="540"/>
        <w:jc w:val="both"/>
      </w:pPr>
      <w:r>
        <w:t>д) среднемесячная номинальная начисленная заработная плата работников по полному кругу организаций по субъектам Российской Федерации;</w:t>
      </w:r>
    </w:p>
    <w:p w:rsidR="000C460D" w:rsidRDefault="000C460D">
      <w:pPr>
        <w:pStyle w:val="ConsPlusNormal"/>
        <w:ind w:firstLine="540"/>
        <w:jc w:val="both"/>
      </w:pPr>
      <w:r>
        <w:t>е) тарифы на перевозку строительных материалов, изделий, конструкций, оборудования, машин и механизмов железнодорожным видом транспорта.</w:t>
      </w:r>
    </w:p>
    <w:p w:rsidR="000C460D" w:rsidRDefault="000C460D">
      <w:pPr>
        <w:pStyle w:val="ConsPlusNormal"/>
        <w:ind w:firstLine="540"/>
        <w:jc w:val="both"/>
      </w:pPr>
      <w:r>
        <w:t xml:space="preserve">4. Государственное учреждение не позднее 3 апреля 2017 г., далее с 2018 года - ежегодно, </w:t>
      </w:r>
      <w:r>
        <w:lastRenderedPageBreak/>
        <w:t>не позднее 1 октября текущего года, представляет:</w:t>
      </w:r>
    </w:p>
    <w:p w:rsidR="000C460D" w:rsidRDefault="000C460D">
      <w:pPr>
        <w:pStyle w:val="ConsPlusNormal"/>
        <w:ind w:firstLine="540"/>
        <w:jc w:val="both"/>
      </w:pPr>
      <w:bookmarkStart w:id="5" w:name="P47"/>
      <w:bookmarkEnd w:id="5"/>
      <w:r>
        <w:t xml:space="preserve">а) в Федеральную службу государственной статистики - перечень кодов видов экономической деятельности, предусмотренных Общероссийским </w:t>
      </w:r>
      <w:hyperlink r:id="rId11" w:history="1">
        <w:r>
          <w:rPr>
            <w:color w:val="0000FF"/>
          </w:rPr>
          <w:t>классификатором</w:t>
        </w:r>
      </w:hyperlink>
      <w:r>
        <w:t xml:space="preserve"> видов экономической деятельности, связанных с производством строительных материалов, изделий, конструкций, оборудования, машин и механизмов, включенных в классификатор строительных ресурсов;</w:t>
      </w:r>
    </w:p>
    <w:p w:rsidR="000C460D" w:rsidRDefault="000C460D">
      <w:pPr>
        <w:pStyle w:val="ConsPlusNormal"/>
        <w:ind w:firstLine="540"/>
        <w:jc w:val="both"/>
      </w:pPr>
      <w:bookmarkStart w:id="6" w:name="P48"/>
      <w:bookmarkEnd w:id="6"/>
      <w:r>
        <w:t xml:space="preserve">б) в Федеральную таможенную службу - перечень кодов, предусмотренных Товарной </w:t>
      </w:r>
      <w:hyperlink r:id="rId12" w:history="1">
        <w:r>
          <w:rPr>
            <w:color w:val="0000FF"/>
          </w:rPr>
          <w:t>номенклатурой</w:t>
        </w:r>
      </w:hyperlink>
      <w:r>
        <w:t xml:space="preserve"> внешнеэкономической деятельности Евразийского экономического союза, связанных с ввозом строительных материалов, изделий, конструкций, оборудования, машин и механизмов, включенных в классификатор строительных ресурсов, в Российскую Федерацию в соответствии с таможенной процедурой выпуска для внутреннего потребления, а также с ввозом таких строительных материалов, изделий, конструкций, оборудования, машин и механизмов из государств - членов Евразийского экономического союза.</w:t>
      </w:r>
    </w:p>
    <w:p w:rsidR="000C460D" w:rsidRDefault="000C460D">
      <w:pPr>
        <w:pStyle w:val="ConsPlusNormal"/>
        <w:ind w:firstLine="540"/>
        <w:jc w:val="both"/>
      </w:pPr>
      <w:bookmarkStart w:id="7" w:name="P49"/>
      <w:bookmarkEnd w:id="7"/>
      <w:r>
        <w:t>5. Федеральная служба государственной статистики представляет в государственное учреждение:</w:t>
      </w:r>
    </w:p>
    <w:p w:rsidR="000C460D" w:rsidRDefault="000C460D">
      <w:pPr>
        <w:pStyle w:val="ConsPlusNormal"/>
        <w:ind w:firstLine="540"/>
        <w:jc w:val="both"/>
      </w:pPr>
      <w:r>
        <w:t xml:space="preserve">а) сформированный в соответствии с перечнем, предусмотренным </w:t>
      </w:r>
      <w:hyperlink w:anchor="P47" w:history="1">
        <w:r>
          <w:rPr>
            <w:color w:val="0000FF"/>
          </w:rPr>
          <w:t>подпунктом "а" пункта 4</w:t>
        </w:r>
      </w:hyperlink>
      <w:r>
        <w:t xml:space="preserve"> настоящих Правил, перечень юридических лиц и их обособленных подразделений (далее - юридические лица), осуществляющих деятельность по производству на территории Российской Федерации строительных материалов, изделий, конструкций, оборудования, машин и механизмов, включенных в классификатор строительных ресурсов, выручка которых за предшествующий календарный год составляет не менее 10 млн. рублей, за исключением юридических лиц, которые на основании условий, установленных Федеральным </w:t>
      </w:r>
      <w:hyperlink r:id="rId13" w:history="1">
        <w:r>
          <w:rPr>
            <w:color w:val="0000FF"/>
          </w:rPr>
          <w:t>законом</w:t>
        </w:r>
      </w:hyperlink>
      <w:r>
        <w:t xml:space="preserve"> "О развитии малого и среднего предпринимательства в Российской Федерации", отнесены к микропредприятиям и включены в единый реестр субъектов малого и среднего предпринимательства;</w:t>
      </w:r>
    </w:p>
    <w:p w:rsidR="000C460D" w:rsidRDefault="000C460D">
      <w:pPr>
        <w:pStyle w:val="ConsPlusNormal"/>
        <w:ind w:firstLine="540"/>
        <w:jc w:val="both"/>
      </w:pPr>
      <w:r>
        <w:t>б) перечень юридических лиц, осуществляющих деятельность по предоставлению в аренду железнодорожных грузовых вагонов, совокупный объем парка грузовых вагонов которых за предшествующий календарный год составляет не менее 70 процентов общего числа грузовых вагонов, находящихся в собственности юридических лиц, осуществляющих такую деятельность, в котором юридические лица ранжированы в порядке убывания по объему парка принадлежащих им грузовых вагонов (начиная с наибольшего).</w:t>
      </w:r>
    </w:p>
    <w:p w:rsidR="000C460D" w:rsidRDefault="000C460D">
      <w:pPr>
        <w:pStyle w:val="ConsPlusNormal"/>
        <w:ind w:firstLine="540"/>
        <w:jc w:val="both"/>
      </w:pPr>
      <w:r>
        <w:t xml:space="preserve">6. Федеральная таможенная служба представляет в государственное учреждение сформированный в соответствии с перечнем, предусмотренным </w:t>
      </w:r>
      <w:hyperlink w:anchor="P48" w:history="1">
        <w:r>
          <w:rPr>
            <w:color w:val="0000FF"/>
          </w:rPr>
          <w:t>подпунктом "б" пункта 4</w:t>
        </w:r>
      </w:hyperlink>
      <w:r>
        <w:t xml:space="preserve"> настоящих Правил, перечень юридических лиц, осуществивших в предшествующем календарном году ввоз в Российскую Федерацию строительных материалов, изделий, конструкций, оборудования, машин и механизмов, включенных в классификатор строительных ресурсов, в соответствии с таможенной процедурой выпуска для внутреннего потребления, а также ввоз строительных материалов, изделий, конструкций, оборудования, машин и механизмов из государств - членов Евразийского экономического союза.</w:t>
      </w:r>
    </w:p>
    <w:p w:rsidR="000C460D" w:rsidRDefault="000C460D">
      <w:pPr>
        <w:pStyle w:val="ConsPlusNormal"/>
        <w:ind w:firstLine="540"/>
        <w:jc w:val="both"/>
      </w:pPr>
      <w:r>
        <w:t>7. Федеральное агентство морского и речного транспорта представляет в государственное учреждение перечень юридических лиц, осуществляющих перевозку строительных материалов, изделий, конструкций, оборудования, машин и механизмов морским (внутренним водным) транспортом, совокупный грузооборот которых за предшествующий календарный год исходя из официальной статистической информации составляет не менее 70 процентов общего объема перевозок таких грузов соответствующим видом транспорта, в котором такие юридические лица ранжированы в порядке убывания по объему грузооборота (начиная с наибольшего).</w:t>
      </w:r>
    </w:p>
    <w:p w:rsidR="000C460D" w:rsidRDefault="000C460D">
      <w:pPr>
        <w:pStyle w:val="ConsPlusNormal"/>
        <w:ind w:firstLine="540"/>
        <w:jc w:val="both"/>
      </w:pPr>
      <w:bookmarkStart w:id="8" w:name="P54"/>
      <w:bookmarkEnd w:id="8"/>
      <w:r>
        <w:t>8. Федеральное агентство воздушного транспорта представляет в государственное учреждение перечень юридических лиц, осуществляющих перевозку строительных материалов, изделий, конструкций, оборудования, машин и механизмов воздушным транспортом, совокупный грузооборот которых за предшествующий календарный год исходя из официальной статистической информации составляет не менее 70 процентов общего объема перевозок таких грузов соответствующим видом транспорта, в котором такие юридические лица ранжированы в порядке убывания по объему грузооборота (начиная с наибольшего).</w:t>
      </w:r>
    </w:p>
    <w:p w:rsidR="000C460D" w:rsidRDefault="000C460D">
      <w:pPr>
        <w:pStyle w:val="ConsPlusNormal"/>
        <w:ind w:firstLine="540"/>
        <w:jc w:val="both"/>
      </w:pPr>
      <w:r>
        <w:t xml:space="preserve">9. Федеральные органы исполнительной власти, указанные в </w:t>
      </w:r>
      <w:hyperlink w:anchor="P49" w:history="1">
        <w:r>
          <w:rPr>
            <w:color w:val="0000FF"/>
          </w:rPr>
          <w:t>пунктах 5</w:t>
        </w:r>
      </w:hyperlink>
      <w:r>
        <w:t xml:space="preserve"> - </w:t>
      </w:r>
      <w:hyperlink w:anchor="P54" w:history="1">
        <w:r>
          <w:rPr>
            <w:color w:val="0000FF"/>
          </w:rPr>
          <w:t>8</w:t>
        </w:r>
      </w:hyperlink>
      <w:r>
        <w:t xml:space="preserve"> настоящих Правил, представляют в Министерство строительства и жилищно-коммунального хозяйства Российской Федерации соответствующую информацию не позднее 3 июля 2017 г. - посредством системы межведомственного электронного документооборота, с 2018 года - в государственное учреждение ежегодно, не позднее 5 ноября текущего года, - в электронном виде с использованием единой системы межведомственного электронного взаимодействия.</w:t>
      </w:r>
    </w:p>
    <w:p w:rsidR="000C460D" w:rsidRDefault="000C460D">
      <w:pPr>
        <w:pStyle w:val="ConsPlusNormal"/>
        <w:ind w:firstLine="540"/>
        <w:jc w:val="both"/>
      </w:pPr>
      <w:bookmarkStart w:id="9" w:name="P56"/>
      <w:bookmarkEnd w:id="9"/>
      <w:r>
        <w:t xml:space="preserve">10. Государственное учреждение на основании информации, представленной федеральными органами исполнительной власти, указанными в </w:t>
      </w:r>
      <w:hyperlink w:anchor="P49" w:history="1">
        <w:r>
          <w:rPr>
            <w:color w:val="0000FF"/>
          </w:rPr>
          <w:t>пунктах 5</w:t>
        </w:r>
      </w:hyperlink>
      <w:r>
        <w:t xml:space="preserve"> - </w:t>
      </w:r>
      <w:hyperlink w:anchor="P54" w:history="1">
        <w:r>
          <w:rPr>
            <w:color w:val="0000FF"/>
          </w:rPr>
          <w:t>8</w:t>
        </w:r>
      </w:hyperlink>
      <w:r>
        <w:t xml:space="preserve"> настоящих Правил, формирует перечень юридических лиц, предоставляющих информацию, необходимую для формирования сметных цен строительных ресурсов, и осуществляет ежегодную его актуализацию.</w:t>
      </w:r>
    </w:p>
    <w:p w:rsidR="000C460D" w:rsidRDefault="000C460D">
      <w:pPr>
        <w:pStyle w:val="ConsPlusNormal"/>
        <w:ind w:firstLine="540"/>
        <w:jc w:val="both"/>
      </w:pPr>
      <w:r>
        <w:t xml:space="preserve">11. Перечень юридических лиц, указанный в </w:t>
      </w:r>
      <w:hyperlink w:anchor="P56" w:history="1">
        <w:r>
          <w:rPr>
            <w:color w:val="0000FF"/>
          </w:rPr>
          <w:t>пункте 10</w:t>
        </w:r>
      </w:hyperlink>
      <w:r>
        <w:t xml:space="preserve"> настоящих Правил, размещается государственным учреждением в информационной системе не позднее 30 сентября 2017 г., с 2018 года - ежегодно, не позднее 30 декабря текущего года.</w:t>
      </w:r>
    </w:p>
    <w:p w:rsidR="000C460D" w:rsidRDefault="000C460D">
      <w:pPr>
        <w:pStyle w:val="ConsPlusNormal"/>
        <w:ind w:firstLine="540"/>
        <w:jc w:val="both"/>
      </w:pPr>
      <w:bookmarkStart w:id="10" w:name="P58"/>
      <w:bookmarkEnd w:id="10"/>
      <w:r>
        <w:t xml:space="preserve">12. В перечень юридических лиц, указанный в </w:t>
      </w:r>
      <w:hyperlink w:anchor="P56" w:history="1">
        <w:r>
          <w:rPr>
            <w:color w:val="0000FF"/>
          </w:rPr>
          <w:t>пункте 10</w:t>
        </w:r>
      </w:hyperlink>
      <w:r>
        <w:t xml:space="preserve"> настоящих Правил, включаются следующие сведения:</w:t>
      </w:r>
    </w:p>
    <w:p w:rsidR="000C460D" w:rsidRDefault="000C460D">
      <w:pPr>
        <w:pStyle w:val="ConsPlusNormal"/>
        <w:ind w:firstLine="540"/>
        <w:jc w:val="both"/>
      </w:pPr>
      <w:r>
        <w:t>а) для юридических лиц, устанавливающих деятельность по производству строительных материалов, изделий, конструкций, оборудования, машин и механизмов:</w:t>
      </w:r>
    </w:p>
    <w:p w:rsidR="000C460D" w:rsidRDefault="000C460D">
      <w:pPr>
        <w:pStyle w:val="ConsPlusNormal"/>
        <w:ind w:firstLine="540"/>
        <w:jc w:val="both"/>
      </w:pPr>
      <w:r>
        <w:t>наименование юридического лица;</w:t>
      </w:r>
    </w:p>
    <w:p w:rsidR="000C460D" w:rsidRDefault="000C460D">
      <w:pPr>
        <w:pStyle w:val="ConsPlusNormal"/>
        <w:ind w:firstLine="540"/>
        <w:jc w:val="both"/>
      </w:pPr>
      <w:r>
        <w:t>организационно-правовая форма юридического лица;</w:t>
      </w:r>
    </w:p>
    <w:p w:rsidR="000C460D" w:rsidRDefault="000C460D">
      <w:pPr>
        <w:pStyle w:val="ConsPlusNormal"/>
        <w:ind w:firstLine="540"/>
        <w:jc w:val="both"/>
      </w:pPr>
      <w:r>
        <w:t>место нахождения юридического лица (наименование населенного пункта (муниципального образования), адрес юридического лица;</w:t>
      </w:r>
    </w:p>
    <w:p w:rsidR="000C460D" w:rsidRDefault="000C460D">
      <w:pPr>
        <w:pStyle w:val="ConsPlusNormal"/>
        <w:ind w:firstLine="540"/>
        <w:jc w:val="both"/>
      </w:pPr>
      <w:r>
        <w:t xml:space="preserve">виды (наименование) строительных материалов, изделий, конструкций, оборудования, машин и механизмов, производимых юридическим лицом на территории Российской Федерации, в соответствии с Общероссийским </w:t>
      </w:r>
      <w:hyperlink r:id="rId14" w:history="1">
        <w:r>
          <w:rPr>
            <w:color w:val="0000FF"/>
          </w:rPr>
          <w:t>классификатором</w:t>
        </w:r>
      </w:hyperlink>
      <w:r>
        <w:t xml:space="preserve"> продукции по видам экономической деятельности;</w:t>
      </w:r>
    </w:p>
    <w:p w:rsidR="000C460D" w:rsidRDefault="000C460D">
      <w:pPr>
        <w:pStyle w:val="ConsPlusNormal"/>
        <w:ind w:firstLine="540"/>
        <w:jc w:val="both"/>
      </w:pPr>
      <w:r>
        <w:t>информация о производственной мощности по видам строительных материалов, изделий, конструкций, оборудования, машин и механизмов, производимых юридическим лицом на территории Российской Федерации;</w:t>
      </w:r>
    </w:p>
    <w:p w:rsidR="000C460D" w:rsidRDefault="000C460D">
      <w:pPr>
        <w:pStyle w:val="ConsPlusNormal"/>
        <w:ind w:firstLine="540"/>
        <w:jc w:val="both"/>
      </w:pPr>
      <w:r>
        <w:t>б) для юридических лиц, осуществляющих ввоз строительных материалов, изделий, конструкций, оборудования, машин и механизмов в Российскую Федерацию в соответствии с таможенной процедурой выпуска для внутреннего потребления, а также их ввоз из государств - членов Евразийского экономического союза:</w:t>
      </w:r>
    </w:p>
    <w:p w:rsidR="000C460D" w:rsidRDefault="000C460D">
      <w:pPr>
        <w:pStyle w:val="ConsPlusNormal"/>
        <w:ind w:firstLine="540"/>
        <w:jc w:val="both"/>
      </w:pPr>
      <w:r>
        <w:t>наименование юридического лица;</w:t>
      </w:r>
    </w:p>
    <w:p w:rsidR="000C460D" w:rsidRDefault="000C460D">
      <w:pPr>
        <w:pStyle w:val="ConsPlusNormal"/>
        <w:ind w:firstLine="540"/>
        <w:jc w:val="both"/>
      </w:pPr>
      <w:r>
        <w:t>организационно-правовая форма юридического лица;</w:t>
      </w:r>
    </w:p>
    <w:p w:rsidR="000C460D" w:rsidRDefault="000C460D">
      <w:pPr>
        <w:pStyle w:val="ConsPlusNormal"/>
        <w:ind w:firstLine="540"/>
        <w:jc w:val="both"/>
      </w:pPr>
      <w:r>
        <w:t>место нахождения юридического лица (наименование населенного пункта (муниципального образования), адрес юридического лица;</w:t>
      </w:r>
    </w:p>
    <w:p w:rsidR="000C460D" w:rsidRDefault="000C460D">
      <w:pPr>
        <w:pStyle w:val="ConsPlusNormal"/>
        <w:ind w:firstLine="540"/>
        <w:jc w:val="both"/>
      </w:pPr>
      <w:r>
        <w:t>наименование ввезенных строительных материалов, изделий, конструкций, оборудования, машин и механизмов;</w:t>
      </w:r>
    </w:p>
    <w:p w:rsidR="000C460D" w:rsidRDefault="000C460D">
      <w:pPr>
        <w:pStyle w:val="ConsPlusNormal"/>
        <w:ind w:firstLine="540"/>
        <w:jc w:val="both"/>
      </w:pPr>
      <w:r>
        <w:t>в) для юридических лиц - перевозчиков строительных ресурсов и (или) собственников грузовых вагонов:</w:t>
      </w:r>
    </w:p>
    <w:p w:rsidR="000C460D" w:rsidRDefault="000C460D">
      <w:pPr>
        <w:pStyle w:val="ConsPlusNormal"/>
        <w:ind w:firstLine="540"/>
        <w:jc w:val="both"/>
      </w:pPr>
      <w:r>
        <w:t>наименование юридического лица;</w:t>
      </w:r>
    </w:p>
    <w:p w:rsidR="000C460D" w:rsidRDefault="000C460D">
      <w:pPr>
        <w:pStyle w:val="ConsPlusNormal"/>
        <w:ind w:firstLine="540"/>
        <w:jc w:val="both"/>
      </w:pPr>
      <w:r>
        <w:t>организационно-правовая форма юридического лица;</w:t>
      </w:r>
    </w:p>
    <w:p w:rsidR="000C460D" w:rsidRDefault="000C460D">
      <w:pPr>
        <w:pStyle w:val="ConsPlusNormal"/>
        <w:ind w:firstLine="540"/>
        <w:jc w:val="both"/>
      </w:pPr>
      <w:r>
        <w:t>место нахождения юридического лица (наименование населенного пункта (муниципального образования), адрес юридического лица;</w:t>
      </w:r>
    </w:p>
    <w:p w:rsidR="000C460D" w:rsidRDefault="000C460D">
      <w:pPr>
        <w:pStyle w:val="ConsPlusNormal"/>
        <w:ind w:firstLine="540"/>
        <w:jc w:val="both"/>
      </w:pPr>
      <w:r>
        <w:t>вид транспорта.</w:t>
      </w:r>
    </w:p>
    <w:p w:rsidR="000C460D" w:rsidRDefault="000C460D">
      <w:pPr>
        <w:pStyle w:val="ConsPlusNormal"/>
        <w:ind w:firstLine="540"/>
        <w:jc w:val="both"/>
      </w:pPr>
      <w:r>
        <w:t xml:space="preserve">13. Заинтересованные федеральные органы исполнительной власти на основании обращений юридических лиц, не включенных в перечень юридических лиц, указанный в </w:t>
      </w:r>
      <w:hyperlink w:anchor="P56" w:history="1">
        <w:r>
          <w:rPr>
            <w:color w:val="0000FF"/>
          </w:rPr>
          <w:t>пункте 10</w:t>
        </w:r>
      </w:hyperlink>
      <w:r>
        <w:t xml:space="preserve"> настоящих Правил, могут направлять в государственное учреждение предложения по дополнению такого перечня с указанием сведений, предусмотренных </w:t>
      </w:r>
      <w:hyperlink w:anchor="P58" w:history="1">
        <w:r>
          <w:rPr>
            <w:color w:val="0000FF"/>
          </w:rPr>
          <w:t>пунктом 12</w:t>
        </w:r>
      </w:hyperlink>
      <w:r>
        <w:t xml:space="preserve"> настоящих Правил, в том числе:</w:t>
      </w:r>
    </w:p>
    <w:p w:rsidR="000C460D" w:rsidRDefault="000C460D">
      <w:pPr>
        <w:pStyle w:val="ConsPlusNormal"/>
        <w:ind w:firstLine="540"/>
        <w:jc w:val="both"/>
      </w:pPr>
      <w:r>
        <w:t xml:space="preserve">а) юридическими лицами, которые осуществляют деятельность по производству на территории Российской Федерации строительных материалов, изделий, конструкций, оборудования, машин и механизмов, включенных в классификатор строительных ресурсов, и выручка которых за предшествующий календарный год составляет не менее 10 млн. рублей, за исключением юридических лиц, указанных в </w:t>
      </w:r>
      <w:hyperlink w:anchor="P77" w:history="1">
        <w:r>
          <w:rPr>
            <w:color w:val="0000FF"/>
          </w:rPr>
          <w:t>подпункте "б"</w:t>
        </w:r>
      </w:hyperlink>
      <w:r>
        <w:t xml:space="preserve"> настоящего пункта;</w:t>
      </w:r>
    </w:p>
    <w:p w:rsidR="000C460D" w:rsidRDefault="000C460D">
      <w:pPr>
        <w:pStyle w:val="ConsPlusNormal"/>
        <w:ind w:firstLine="540"/>
        <w:jc w:val="both"/>
      </w:pPr>
      <w:bookmarkStart w:id="11" w:name="P77"/>
      <w:bookmarkEnd w:id="11"/>
      <w:r>
        <w:t xml:space="preserve">б) юридическими лицами, которые на основании критериев, установленных Федеральным </w:t>
      </w:r>
      <w:hyperlink r:id="rId15" w:history="1">
        <w:r>
          <w:rPr>
            <w:color w:val="0000FF"/>
          </w:rPr>
          <w:t>законом</w:t>
        </w:r>
      </w:hyperlink>
      <w:r>
        <w:t xml:space="preserve"> "О развитии малого и среднего предпринимательства в Российской Федерации", отнесены к микропредприятиям и включены в единый реестр субъектов малого и среднего предпринимательства, осуществляют деятельность по производству на территории Российской Федерации строительных материалов, изделий, конструкций, оборудования, машин и механизмов, включенных в классификатор строительных ресурсов, и выручка которых за предшествующий календарный год составляет не менее 10 млн. рублей.</w:t>
      </w:r>
    </w:p>
    <w:p w:rsidR="000C460D" w:rsidRDefault="000C460D">
      <w:pPr>
        <w:pStyle w:val="ConsPlusNormal"/>
        <w:ind w:firstLine="540"/>
        <w:jc w:val="both"/>
      </w:pPr>
      <w:r>
        <w:t xml:space="preserve">14. Государственное учреждение направляет юридическим лицам, включенным в перечень юридических лиц, указанный в </w:t>
      </w:r>
      <w:hyperlink w:anchor="P56" w:history="1">
        <w:r>
          <w:rPr>
            <w:color w:val="0000FF"/>
          </w:rPr>
          <w:t>пункте 10</w:t>
        </w:r>
      </w:hyperlink>
      <w:r>
        <w:t xml:space="preserve"> настоящих Правил, уведомление об обязанности (праве) предоставления информации, указанной в </w:t>
      </w:r>
      <w:hyperlink w:anchor="P40" w:history="1">
        <w:r>
          <w:rPr>
            <w:color w:val="0000FF"/>
          </w:rPr>
          <w:t>подпунктах "а"</w:t>
        </w:r>
      </w:hyperlink>
      <w:r>
        <w:t xml:space="preserve"> - </w:t>
      </w:r>
      <w:hyperlink w:anchor="P43" w:history="1">
        <w:r>
          <w:rPr>
            <w:color w:val="0000FF"/>
          </w:rPr>
          <w:t>"г" пункта 3</w:t>
        </w:r>
      </w:hyperlink>
      <w:r>
        <w:t xml:space="preserve"> настоящих Правил (далее - уведомление о предоставлении информации), не позднее 25 октября 2017 г., с 2018 года - ежегодно, не позднее чем через 25 календарных дней со дня размещения перечня юридических лиц в информационной системе посредством электронной почты, телефонограммы, факсограммы, почтового отправления.</w:t>
      </w:r>
    </w:p>
    <w:p w:rsidR="000C460D" w:rsidRDefault="000C460D">
      <w:pPr>
        <w:pStyle w:val="ConsPlusNormal"/>
        <w:ind w:firstLine="540"/>
        <w:jc w:val="both"/>
      </w:pPr>
      <w:r>
        <w:t>15. Датой получения юридическим лицом уведомления о предоставлении информации считается:</w:t>
      </w:r>
    </w:p>
    <w:p w:rsidR="000C460D" w:rsidRDefault="000C460D">
      <w:pPr>
        <w:pStyle w:val="ConsPlusNormal"/>
        <w:ind w:firstLine="540"/>
        <w:jc w:val="both"/>
      </w:pPr>
      <w:r>
        <w:t>при направлении уведомления о предоставлении информации посредством электронной почты с использованием информационно-телекоммуникационной сети "Интернет" - дата ответа получателя о поступлении уведомления о предоставлении информации;</w:t>
      </w:r>
    </w:p>
    <w:p w:rsidR="000C460D" w:rsidRDefault="000C460D">
      <w:pPr>
        <w:pStyle w:val="ConsPlusNormal"/>
        <w:ind w:firstLine="540"/>
        <w:jc w:val="both"/>
      </w:pPr>
      <w:r>
        <w:t>при направлении уведомления о предоставлении информации телефонограммой - дата получения уведомления о предоставлении информации, сообщенная по телефону сотрудником юридического лица, принявшим телефонограмму, с указанием фамилии, имени, отчества, должности этого сотрудника;</w:t>
      </w:r>
    </w:p>
    <w:p w:rsidR="000C460D" w:rsidRDefault="000C460D">
      <w:pPr>
        <w:pStyle w:val="ConsPlusNormal"/>
        <w:ind w:firstLine="540"/>
        <w:jc w:val="both"/>
      </w:pPr>
      <w:r>
        <w:t>при направлении уведомления о предоставлении информации факсограммой - отчет об отправке факсограммы, сформированный факсимильным аппаратом.</w:t>
      </w:r>
    </w:p>
    <w:p w:rsidR="000C460D" w:rsidRDefault="000C460D">
      <w:pPr>
        <w:pStyle w:val="ConsPlusNormal"/>
        <w:ind w:firstLine="540"/>
        <w:jc w:val="both"/>
      </w:pPr>
      <w:r>
        <w:t>16. В случае отсутствия информации о номере телефона и (или) адреса электронной почты юридического лица уведомление о предоставлении информации направляется юридическому лицу по почте заказным письмом с уведомлением о вручении с описью вложения.</w:t>
      </w:r>
    </w:p>
    <w:p w:rsidR="000C460D" w:rsidRDefault="000C460D">
      <w:pPr>
        <w:pStyle w:val="ConsPlusNormal"/>
        <w:ind w:firstLine="540"/>
        <w:jc w:val="both"/>
      </w:pPr>
      <w:r>
        <w:t>Место нахождения юридического лица определяется на основании сведений, содержащихся в едином государственном реестре юридических лиц.</w:t>
      </w:r>
    </w:p>
    <w:p w:rsidR="000C460D" w:rsidRDefault="000C460D">
      <w:pPr>
        <w:pStyle w:val="ConsPlusNormal"/>
        <w:ind w:firstLine="540"/>
        <w:jc w:val="both"/>
      </w:pPr>
      <w:r>
        <w:t>17. Датой получения юридическим лицом уведомления о предоставлении информации, направленного почтовым отправлением, считается:</w:t>
      </w:r>
    </w:p>
    <w:p w:rsidR="000C460D" w:rsidRDefault="000C460D">
      <w:pPr>
        <w:pStyle w:val="ConsPlusNormal"/>
        <w:ind w:firstLine="540"/>
        <w:jc w:val="both"/>
      </w:pPr>
      <w:r>
        <w:t>дата, указанная в почтовом уведомлении о вручении уведомления о предоставлении информации по месту нахождения юридического лица;</w:t>
      </w:r>
    </w:p>
    <w:p w:rsidR="000C460D" w:rsidRDefault="000C460D">
      <w:pPr>
        <w:pStyle w:val="ConsPlusNormal"/>
        <w:ind w:firstLine="540"/>
        <w:jc w:val="both"/>
      </w:pPr>
      <w:r>
        <w:t>дата отказа юридического лица от получения уведомления о предоставлении информации, о чем организация почтовой связи информирует государственное учреждение;</w:t>
      </w:r>
    </w:p>
    <w:p w:rsidR="000C460D" w:rsidRDefault="000C460D">
      <w:pPr>
        <w:pStyle w:val="ConsPlusNormal"/>
        <w:ind w:firstLine="540"/>
        <w:jc w:val="both"/>
      </w:pPr>
      <w:r>
        <w:t>дата, на которую уведомление о предоставлении информации не вручено в связи с отсутствием адресата по указанному адресу, о чем организация почтовой связи информирует государственное учреждение.</w:t>
      </w:r>
    </w:p>
    <w:p w:rsidR="000C460D" w:rsidRDefault="000C460D">
      <w:pPr>
        <w:pStyle w:val="ConsPlusNormal"/>
        <w:ind w:firstLine="540"/>
        <w:jc w:val="both"/>
      </w:pPr>
      <w:r>
        <w:t xml:space="preserve">18. Юридические лица, включенные в перечень юридических лиц, указанный в </w:t>
      </w:r>
      <w:hyperlink w:anchor="P56" w:history="1">
        <w:r>
          <w:rPr>
            <w:color w:val="0000FF"/>
          </w:rPr>
          <w:t>пункте 10</w:t>
        </w:r>
      </w:hyperlink>
      <w:r>
        <w:t xml:space="preserve"> настоящих Правил, предоставляют информацию, указанную в </w:t>
      </w:r>
      <w:hyperlink w:anchor="P40" w:history="1">
        <w:r>
          <w:rPr>
            <w:color w:val="0000FF"/>
          </w:rPr>
          <w:t>подпунктах "а"</w:t>
        </w:r>
      </w:hyperlink>
      <w:r>
        <w:t xml:space="preserve"> - </w:t>
      </w:r>
      <w:hyperlink w:anchor="P43" w:history="1">
        <w:r>
          <w:rPr>
            <w:color w:val="0000FF"/>
          </w:rPr>
          <w:t>"г" пункта 3</w:t>
        </w:r>
      </w:hyperlink>
      <w:r>
        <w:t xml:space="preserve"> настоящих Правил, путем размещения ее в информационной системе в соответствии с формами предоставления информации, указанными в </w:t>
      </w:r>
      <w:hyperlink w:anchor="P98" w:history="1">
        <w:r>
          <w:rPr>
            <w:color w:val="0000FF"/>
          </w:rPr>
          <w:t>пункте 24</w:t>
        </w:r>
      </w:hyperlink>
      <w:r>
        <w:t xml:space="preserve"> настоящих Правил, за III квартал - не позднее 15 ноября 2017 г., за IV квартал - не позднее 25 января 2018 г., начиная с 2018 года - ежеквартально, не позднее 25-го числа месяца, следующего за отчетным кварталом.</w:t>
      </w:r>
    </w:p>
    <w:p w:rsidR="000C460D" w:rsidRDefault="000C460D">
      <w:pPr>
        <w:pStyle w:val="ConsPlusNormal"/>
        <w:ind w:firstLine="540"/>
        <w:jc w:val="both"/>
      </w:pPr>
      <w:r>
        <w:t>В случае если юридическое лицо исключено из указанного перечня (при его актуализации), такое юридическое лицо информацию не предоставляет.</w:t>
      </w:r>
    </w:p>
    <w:p w:rsidR="000C460D" w:rsidRDefault="000C460D">
      <w:pPr>
        <w:pStyle w:val="ConsPlusNormal"/>
        <w:ind w:firstLine="540"/>
        <w:jc w:val="both"/>
      </w:pPr>
      <w:r>
        <w:t xml:space="preserve">19. Информация, указанная в </w:t>
      </w:r>
      <w:hyperlink w:anchor="P40" w:history="1">
        <w:r>
          <w:rPr>
            <w:color w:val="0000FF"/>
          </w:rPr>
          <w:t>подпунктах "а"</w:t>
        </w:r>
      </w:hyperlink>
      <w:r>
        <w:t xml:space="preserve"> - </w:t>
      </w:r>
      <w:hyperlink w:anchor="P43" w:history="1">
        <w:r>
          <w:rPr>
            <w:color w:val="0000FF"/>
          </w:rPr>
          <w:t>"г" пункта 3</w:t>
        </w:r>
      </w:hyperlink>
      <w:r>
        <w:t xml:space="preserve"> настоящих Правил, предоставляется юридическими лицами, включенными в перечень юридических лиц, указанный в </w:t>
      </w:r>
      <w:hyperlink w:anchor="P56" w:history="1">
        <w:r>
          <w:rPr>
            <w:color w:val="0000FF"/>
          </w:rPr>
          <w:t>пункте 10</w:t>
        </w:r>
      </w:hyperlink>
      <w:r>
        <w:t xml:space="preserve"> настоящих Правил, безвозмездно.</w:t>
      </w:r>
    </w:p>
    <w:p w:rsidR="000C460D" w:rsidRDefault="000C460D">
      <w:pPr>
        <w:pStyle w:val="ConsPlusNormal"/>
        <w:ind w:firstLine="540"/>
        <w:jc w:val="both"/>
      </w:pPr>
      <w:r>
        <w:t xml:space="preserve">20. В случае предоставления юридическим лицом информации, указанной в </w:t>
      </w:r>
      <w:hyperlink w:anchor="P40" w:history="1">
        <w:r>
          <w:rPr>
            <w:color w:val="0000FF"/>
          </w:rPr>
          <w:t>подпунктах "а"</w:t>
        </w:r>
      </w:hyperlink>
      <w:r>
        <w:t xml:space="preserve"> - </w:t>
      </w:r>
      <w:hyperlink w:anchor="P43" w:history="1">
        <w:r>
          <w:rPr>
            <w:color w:val="0000FF"/>
          </w:rPr>
          <w:t>"г" пункта 3</w:t>
        </w:r>
      </w:hyperlink>
      <w:r>
        <w:t xml:space="preserve"> настоящих Правил, с нарушением требований, установленных формами предоставления информации, указанными в </w:t>
      </w:r>
      <w:hyperlink w:anchor="P98" w:history="1">
        <w:r>
          <w:rPr>
            <w:color w:val="0000FF"/>
          </w:rPr>
          <w:t>пункте 24</w:t>
        </w:r>
      </w:hyperlink>
      <w:r>
        <w:t xml:space="preserve"> настоящих Правил, или информации, содержащей ошибки, такое юридическое лицо вправе до 5 дней со дня предоставления такой информации предоставить государственному учреждению уточненную информацию.</w:t>
      </w:r>
    </w:p>
    <w:p w:rsidR="000C460D" w:rsidRDefault="000C460D">
      <w:pPr>
        <w:pStyle w:val="ConsPlusNormal"/>
        <w:ind w:firstLine="540"/>
        <w:jc w:val="both"/>
      </w:pPr>
      <w:r>
        <w:t xml:space="preserve">21. В случае если государственным учреждением выявлено, что юридическим лицом предоставлена информация, указанная в </w:t>
      </w:r>
      <w:hyperlink w:anchor="P40" w:history="1">
        <w:r>
          <w:rPr>
            <w:color w:val="0000FF"/>
          </w:rPr>
          <w:t>подпунктах "а"</w:t>
        </w:r>
      </w:hyperlink>
      <w:r>
        <w:t xml:space="preserve"> - </w:t>
      </w:r>
      <w:hyperlink w:anchor="P43" w:history="1">
        <w:r>
          <w:rPr>
            <w:color w:val="0000FF"/>
          </w:rPr>
          <w:t>"г" пункта 3</w:t>
        </w:r>
      </w:hyperlink>
      <w:r>
        <w:t xml:space="preserve"> настоящих Правил, с нарушением требований, установленных формами предоставления информации, указанными в </w:t>
      </w:r>
      <w:hyperlink w:anchor="P98" w:history="1">
        <w:r>
          <w:rPr>
            <w:color w:val="0000FF"/>
          </w:rPr>
          <w:t>пункте 24</w:t>
        </w:r>
      </w:hyperlink>
      <w:r>
        <w:t xml:space="preserve"> настоящих Правил, и (или) в предоставленной информации отпускная цена (цена реализации) строительного ресурса имеет отклонение более чем на 10 процентов от средней цены такого строительного ресурса, определенной с учетом информации всех юридических лиц в текущем отчетном периоде, и (или) отпускная цена (цена реализации) строительного ресурса имеет отклонение более чем на 10 процентов от цены такого строительного ресурса, указанной в информации, предоставленной этим юридическим лицом в предшествующем отчетном периоде, государственное учреждение не позднее 10 дней со дня предоставления такой информации направляет юридическому лицу, предоставившему такую информацию, запрос о необходимости предоставления уточненной информации с использованием информационной системы.</w:t>
      </w:r>
    </w:p>
    <w:p w:rsidR="000C460D" w:rsidRDefault="000C460D">
      <w:pPr>
        <w:pStyle w:val="ConsPlusNormal"/>
        <w:ind w:firstLine="540"/>
        <w:jc w:val="both"/>
      </w:pPr>
      <w:r>
        <w:t>Юридическое лицо не позднее чем через 5 календарных дней со дня получения указанного запроса обязано подтвердить ранее предоставленную информацию или предоставить уточненную информацию.</w:t>
      </w:r>
    </w:p>
    <w:p w:rsidR="000C460D" w:rsidRDefault="000C460D">
      <w:pPr>
        <w:pStyle w:val="ConsPlusNormal"/>
        <w:ind w:firstLine="540"/>
        <w:jc w:val="both"/>
      </w:pPr>
      <w:r>
        <w:t>22. Федеральная служба государственной статистики предоставляет в государственное учреждение информацию о среднемесячной номинальной начисленной заработной плате работников по полному кругу организаций по субъектам Российской Федерации не позднее 15 ноября 2017 г. (за январь - сентябрь 2017 г.), не позднее 25 февраля 2018 г. (за октябрь - декабрь 2017 г.), далее с 2019 года - ежегодно, не позднее 25 февраля текущего года (за каждый месяц предшествующего года).</w:t>
      </w:r>
    </w:p>
    <w:p w:rsidR="000C460D" w:rsidRDefault="000C460D">
      <w:pPr>
        <w:pStyle w:val="ConsPlusNormal"/>
        <w:ind w:firstLine="540"/>
        <w:jc w:val="both"/>
      </w:pPr>
      <w:r>
        <w:t>23. Федеральная антимонопольная служба предоставляет в государственное учреждение информацию о действующих установленных тарифах на перевозку грузов железнодорожным видом транспорта не позднее 15 ноября 2017 г. (по состоянию на дату предоставления информации), далее с 2018 года - ежегодно, не позднее 25 февраля текущего года (по состоянию на дату предоставления информации).</w:t>
      </w:r>
    </w:p>
    <w:p w:rsidR="000C460D" w:rsidRDefault="000C460D">
      <w:pPr>
        <w:pStyle w:val="ConsPlusNormal"/>
        <w:ind w:firstLine="540"/>
        <w:jc w:val="both"/>
      </w:pPr>
      <w:r>
        <w:t>Информация, указанная в абзаце первом настоящего пункта, размещается государственным учреждением в информационной системе не позднее 15 декабря 2017 г., далее с 2018 года - ежегодно, не позднее 25 марта текущего года.</w:t>
      </w:r>
    </w:p>
    <w:p w:rsidR="000C460D" w:rsidRDefault="000C460D">
      <w:pPr>
        <w:pStyle w:val="ConsPlusNormal"/>
        <w:ind w:firstLine="540"/>
        <w:jc w:val="both"/>
      </w:pPr>
      <w:bookmarkStart w:id="12" w:name="P98"/>
      <w:bookmarkEnd w:id="12"/>
      <w:r>
        <w:t xml:space="preserve">24. Формы предоставления информации, указанной в </w:t>
      </w:r>
      <w:hyperlink w:anchor="P39" w:history="1">
        <w:r>
          <w:rPr>
            <w:color w:val="0000FF"/>
          </w:rPr>
          <w:t>пунктах 3</w:t>
        </w:r>
      </w:hyperlink>
      <w:r>
        <w:t xml:space="preserve"> - </w:t>
      </w:r>
      <w:hyperlink w:anchor="P54" w:history="1">
        <w:r>
          <w:rPr>
            <w:color w:val="0000FF"/>
          </w:rPr>
          <w:t>8</w:t>
        </w:r>
      </w:hyperlink>
      <w:r>
        <w:t>, настоящих Правил, утверждаются Министерством строительства и жилищно-коммунального хозяйства Российской Федерации.</w:t>
      </w:r>
    </w:p>
    <w:p w:rsidR="000C460D" w:rsidRDefault="000C460D">
      <w:pPr>
        <w:pStyle w:val="ConsPlusNormal"/>
        <w:jc w:val="both"/>
      </w:pPr>
    </w:p>
    <w:p w:rsidR="000C460D" w:rsidRDefault="000C460D">
      <w:pPr>
        <w:pStyle w:val="ConsPlusNormal"/>
        <w:jc w:val="both"/>
      </w:pPr>
    </w:p>
    <w:p w:rsidR="000C460D" w:rsidRDefault="000C460D">
      <w:pPr>
        <w:pStyle w:val="ConsPlusNormal"/>
        <w:pBdr>
          <w:top w:val="single" w:sz="6" w:space="0" w:color="auto"/>
        </w:pBdr>
        <w:spacing w:before="100" w:after="100"/>
        <w:jc w:val="both"/>
        <w:rPr>
          <w:sz w:val="2"/>
          <w:szCs w:val="2"/>
        </w:rPr>
      </w:pPr>
    </w:p>
    <w:p w:rsidR="00981567" w:rsidRDefault="00981567"/>
    <w:sectPr w:rsidR="00981567" w:rsidSect="009F6E3E">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2F2" w:rsidRDefault="00B942F2" w:rsidP="00B942F2">
      <w:pPr>
        <w:spacing w:after="0" w:line="240" w:lineRule="auto"/>
      </w:pPr>
      <w:r>
        <w:separator/>
      </w:r>
    </w:p>
  </w:endnote>
  <w:endnote w:type="continuationSeparator" w:id="0">
    <w:p w:rsidR="00B942F2" w:rsidRDefault="00B942F2" w:rsidP="00B9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2F2" w:rsidRDefault="00B942F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2F2" w:rsidRDefault="00B942F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2F2" w:rsidRDefault="00B942F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2F2" w:rsidRDefault="00B942F2" w:rsidP="00B942F2">
      <w:pPr>
        <w:spacing w:after="0" w:line="240" w:lineRule="auto"/>
      </w:pPr>
      <w:r>
        <w:separator/>
      </w:r>
    </w:p>
  </w:footnote>
  <w:footnote w:type="continuationSeparator" w:id="0">
    <w:p w:rsidR="00B942F2" w:rsidRDefault="00B942F2" w:rsidP="00B942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2F2" w:rsidRDefault="00B942F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2F2" w:rsidRDefault="00B942F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2F2" w:rsidRDefault="00B942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60D"/>
    <w:rsid w:val="000C460D"/>
    <w:rsid w:val="002349DA"/>
    <w:rsid w:val="00981567"/>
    <w:rsid w:val="00B94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46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46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460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B942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42F2"/>
  </w:style>
  <w:style w:type="paragraph" w:styleId="a5">
    <w:name w:val="footer"/>
    <w:basedOn w:val="a"/>
    <w:link w:val="a6"/>
    <w:uiPriority w:val="99"/>
    <w:unhideWhenUsed/>
    <w:rsid w:val="00B942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42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46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46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460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B942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42F2"/>
  </w:style>
  <w:style w:type="paragraph" w:styleId="a5">
    <w:name w:val="footer"/>
    <w:basedOn w:val="a"/>
    <w:link w:val="a6"/>
    <w:uiPriority w:val="99"/>
    <w:unhideWhenUsed/>
    <w:rsid w:val="00B942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4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4CA3A1916EE74FFB59261B69BFDDF57A5FBA39B494BA0123E54869726ADB35EE28D61AA153F0C7s3k2H" TargetMode="External"/><Relationship Id="rId13" Type="http://schemas.openxmlformats.org/officeDocument/2006/relationships/hyperlink" Target="consultantplus://offline/ref=FC4CA3A1916EE74FFB59261B69BFDDF57957BA3FB999BA0123E5486972s6kAH"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consultant.ru" TargetMode="External"/><Relationship Id="rId12" Type="http://schemas.openxmlformats.org/officeDocument/2006/relationships/hyperlink" Target="consultantplus://offline/ref=FC4CA3A1916EE74FFB59261B69BFDDF57A5FBB3DBD96BA0123E54869726ADB35EE28D618A050FDsCkCH"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C4CA3A1916EE74FFB59261B69BFDDF5795ABD3FBE99BA0123E5486972s6kAH" TargetMode="External"/><Relationship Id="rId5" Type="http://schemas.openxmlformats.org/officeDocument/2006/relationships/footnotes" Target="footnotes.xml"/><Relationship Id="rId15" Type="http://schemas.openxmlformats.org/officeDocument/2006/relationships/hyperlink" Target="consultantplus://offline/ref=FC4CA3A1916EE74FFB59261B69BFDDF57957BA3FB999BA0123E5486972s6kAH" TargetMode="External"/><Relationship Id="rId23" Type="http://schemas.openxmlformats.org/officeDocument/2006/relationships/theme" Target="theme/theme1.xml"/><Relationship Id="rId10" Type="http://schemas.openxmlformats.org/officeDocument/2006/relationships/hyperlink" Target="consultantplus://offline/ref=FC4CA3A1916EE74FFB59261B69BFDDF57A5FB83CB597BA0123E5486972s6kAH"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FC4CA3A1916EE74FFB59261B69BFDDF57A5FBA39B494BA0123E54869726ADB35EE28D61AA153F0C6s3k6H" TargetMode="External"/><Relationship Id="rId14" Type="http://schemas.openxmlformats.org/officeDocument/2006/relationships/hyperlink" Target="consultantplus://offline/ref=FC4CA3A1916EE74FFB59261B69BFDDF57A5FB83CB597BA0123E5486972s6kA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3342</Words>
  <Characters>19052</Characters>
  <Application>Microsoft Office Word</Application>
  <DocSecurity>4</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Артемичева А.А.</dc:creator>
  <cp:lastModifiedBy>Регина Харисова</cp:lastModifiedBy>
  <cp:revision>2</cp:revision>
  <dcterms:created xsi:type="dcterms:W3CDTF">2017-06-30T10:54:00Z</dcterms:created>
  <dcterms:modified xsi:type="dcterms:W3CDTF">2017-06-30T10:54:00Z</dcterms:modified>
</cp:coreProperties>
</file>